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2120" w:leader="none"/>
          <w:tab w:val="center" w:pos="4949" w:leader="none"/>
        </w:tabs>
        <w:spacing w:lineRule="auto" w:line="312" w:before="0" w:after="0"/>
        <w:ind w:right="-567" w:hanging="0"/>
        <w:rPr>
          <w:rFonts w:ascii="Times New Roman" w:hAnsi="Times New Roman" w:cs="Times New Roman"/>
          <w:b/>
          <w:i/>
          <w:i/>
          <w:caps/>
          <w:spacing w:val="20"/>
          <w:position w:val="-6"/>
          <w:sz w:val="48"/>
          <w:szCs w:val="72"/>
          <w:lang w:val="en-US" w:eastAsia="en-US"/>
        </w:rPr>
      </w:pPr>
      <w:r>
        <w:rPr>
          <w:rFonts w:cs="Times New Roman" w:ascii="Times New Roman" w:hAnsi="Times New Roman"/>
          <w:b/>
          <w:i/>
          <w:caps/>
          <w:spacing w:val="20"/>
          <w:position w:val="-6"/>
          <w:sz w:val="48"/>
          <w:szCs w:val="72"/>
          <w:lang w:val="en-US" w:eastAsia="en-US"/>
        </w:rPr>
      </w:r>
    </w:p>
    <w:p>
      <w:pPr>
        <w:pStyle w:val="Normal"/>
        <w:tabs>
          <w:tab w:val="clear" w:pos="720"/>
          <w:tab w:val="left" w:pos="2120" w:leader="none"/>
          <w:tab w:val="center" w:pos="4949" w:leader="none"/>
        </w:tabs>
        <w:spacing w:lineRule="auto" w:line="312" w:before="0" w:after="0"/>
        <w:ind w:right="-567" w:firstLine="426"/>
        <w:rPr>
          <w:rFonts w:ascii="Times New Roman" w:hAnsi="Times New Roman" w:eastAsia="Times New Roman" w:cs="Times New Roman"/>
          <w:b/>
          <w:i/>
          <w:i/>
          <w:caps/>
          <w:spacing w:val="20"/>
          <w:position w:val="-7"/>
          <w:sz w:val="56"/>
          <w:szCs w:val="72"/>
          <w:lang w:val="bg-BG" w:eastAsia="bg-BG"/>
        </w:rPr>
      </w:pPr>
      <w:r>
        <w:rPr>
          <w:rFonts w:eastAsia="Times New Roman" w:cs="Times New Roman" w:ascii="Times New Roman" w:hAnsi="Times New Roman"/>
          <w:b/>
          <w:i/>
          <w:caps/>
          <w:spacing w:val="20"/>
          <w:position w:val="-7"/>
          <w:sz w:val="56"/>
          <w:szCs w:val="72"/>
          <w:lang w:val="bg-BG" w:eastAsia="bg-BG"/>
        </w:rPr>
      </w:r>
    </w:p>
    <w:p>
      <w:pPr>
        <w:pStyle w:val="Normal"/>
        <w:tabs>
          <w:tab w:val="clear" w:pos="720"/>
          <w:tab w:val="left" w:pos="2120" w:leader="none"/>
          <w:tab w:val="center" w:pos="4949" w:leader="none"/>
        </w:tabs>
        <w:spacing w:lineRule="auto" w:line="312" w:before="0" w:after="0"/>
        <w:ind w:right="-567" w:hanging="0"/>
        <w:rPr>
          <w:rFonts w:ascii="Times New Roman" w:hAnsi="Times New Roman" w:eastAsia="Times New Roman" w:cs="Times New Roman"/>
          <w:b/>
          <w:sz w:val="56"/>
          <w:szCs w:val="72"/>
          <w:lang w:val="bg-BG" w:eastAsia="bg-BG"/>
        </w:rPr>
      </w:pPr>
      <w:r>
        <w:rPr>
          <w:rFonts w:eastAsia="Times New Roman" w:cs="Times New Roman" w:ascii="Times New Roman" w:hAnsi="Times New Roman"/>
          <w:b/>
          <w:sz w:val="56"/>
          <w:szCs w:val="72"/>
          <w:lang w:val="bg-BG" w:eastAsia="bg-BG"/>
        </w:rPr>
        <w:tab/>
      </w:r>
    </w:p>
    <w:p>
      <w:pPr>
        <w:pStyle w:val="Normal"/>
        <w:tabs>
          <w:tab w:val="clear" w:pos="720"/>
          <w:tab w:val="left" w:pos="2120" w:leader="none"/>
          <w:tab w:val="center" w:pos="4949" w:leader="none"/>
        </w:tabs>
        <w:spacing w:lineRule="auto" w:line="312" w:before="0" w:after="0"/>
        <w:ind w:right="-567" w:hanging="0"/>
        <w:jc w:val="center"/>
        <w:rPr>
          <w:rFonts w:ascii="Times New Roman" w:hAnsi="Times New Roman" w:eastAsia="Times New Roman" w:cs="Times New Roman"/>
          <w:sz w:val="52"/>
          <w:szCs w:val="52"/>
          <w:lang w:val="bg-BG" w:eastAsia="bg-BG"/>
        </w:rPr>
      </w:pPr>
      <w:r>
        <w:rPr>
          <w:rFonts w:eastAsia="Times New Roman" w:cs="Times New Roman" w:ascii="Times New Roman" w:hAnsi="Times New Roman"/>
          <w:sz w:val="52"/>
          <w:szCs w:val="52"/>
          <w:lang w:val="bg-BG" w:eastAsia="bg-BG"/>
        </w:rPr>
        <w:t>РЕФЕРАТ</w:t>
      </w:r>
    </w:p>
    <w:p>
      <w:pPr>
        <w:pStyle w:val="Normal"/>
        <w:tabs>
          <w:tab w:val="clear" w:pos="720"/>
          <w:tab w:val="left" w:pos="2120" w:leader="none"/>
          <w:tab w:val="center" w:pos="4949" w:leader="none"/>
        </w:tabs>
        <w:spacing w:lineRule="auto" w:line="312" w:before="0" w:after="0"/>
        <w:ind w:right="-567" w:hanging="0"/>
        <w:jc w:val="center"/>
        <w:rPr>
          <w:rFonts w:ascii="Times New Roman" w:hAnsi="Times New Roman" w:eastAsia="Times New Roman" w:cs="Times New Roman"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bg-BG"/>
        </w:rPr>
        <w:t>ДИСЦИПЛИНА</w:t>
      </w:r>
    </w:p>
    <w:p>
      <w:pPr>
        <w:pStyle w:val="Normal"/>
        <w:spacing w:lineRule="auto" w:line="312" w:before="0" w:after="0"/>
        <w:ind w:right="-567" w:hanging="0"/>
        <w:jc w:val="center"/>
        <w:rPr>
          <w:rFonts w:eastAsia="Times New Roman"/>
          <w:caps/>
          <w:sz w:val="28"/>
          <w:szCs w:val="28"/>
          <w:lang w:val="ru-RU" w:eastAsia="bg-BG"/>
        </w:rPr>
      </w:pPr>
      <w:r>
        <w:rPr>
          <w:rFonts w:eastAsia="Times New Roman" w:cs="Times New Roman Bold" w:ascii="Times New Roman Bold" w:hAnsi="Times New Roman Bold"/>
          <w:caps/>
          <w:sz w:val="28"/>
          <w:szCs w:val="28"/>
          <w:lang w:val="ru-RU" w:eastAsia="bg-BG"/>
        </w:rPr>
        <w:t>МЕТРОЛОГИЯ И МЕТРОЛОГИЧНО ОСИГУРЯВАНЕ</w:t>
      </w:r>
      <w:r>
        <w:rPr>
          <w:rFonts w:eastAsia="Times New Roman" w:cs="Times New Roman Bold" w:ascii="Times New Roman Bold" w:hAnsi="Times New Roman Bold"/>
          <w:caps/>
          <w:sz w:val="28"/>
          <w:szCs w:val="28"/>
          <w:lang w:eastAsia="bg-BG"/>
        </w:rPr>
        <w:t> </w:t>
      </w:r>
    </w:p>
    <w:p>
      <w:pPr>
        <w:pStyle w:val="Normal"/>
        <w:spacing w:lineRule="auto" w:line="312" w:before="0" w:after="0"/>
        <w:ind w:right="-567" w:hanging="0"/>
        <w:jc w:val="center"/>
        <w:rPr>
          <w:rFonts w:eastAsia="Times New Roman"/>
          <w:caps/>
          <w:sz w:val="24"/>
          <w:szCs w:val="28"/>
          <w:lang w:val="ru-RU" w:eastAsia="bg-BG"/>
        </w:rPr>
      </w:pPr>
      <w:r>
        <w:rPr>
          <w:rFonts w:eastAsia="Times New Roman"/>
          <w:caps/>
          <w:sz w:val="24"/>
          <w:szCs w:val="28"/>
          <w:lang w:val="ru-RU" w:eastAsia="bg-BG"/>
        </w:rPr>
      </w:r>
    </w:p>
    <w:p>
      <w:pPr>
        <w:pStyle w:val="Normal"/>
        <w:spacing w:lineRule="auto" w:line="312" w:before="0" w:after="0"/>
        <w:ind w:right="-567" w:hanging="0"/>
        <w:jc w:val="center"/>
        <w:rPr>
          <w:rFonts w:ascii="Times New Roman" w:hAnsi="Times New Roman" w:eastAsia="Times New Roman" w:cs="Times New Roman"/>
          <w:sz w:val="40"/>
          <w:szCs w:val="40"/>
          <w:lang w:val="bg-BG" w:eastAsia="bg-BG"/>
        </w:rPr>
      </w:pPr>
      <w:r>
        <w:rPr>
          <w:rFonts w:eastAsia="Times New Roman" w:cs="Times New Roman" w:ascii="Times New Roman" w:hAnsi="Times New Roman"/>
          <w:sz w:val="40"/>
          <w:szCs w:val="40"/>
          <w:lang w:val="bg-BG" w:eastAsia="bg-BG"/>
        </w:rPr>
        <w:t>ТЕМА</w:t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val="ru-RU" w:eastAsia="bg-BG"/>
        </w:rPr>
        <w:t>Същност и цел на закона за измерванията. Общи положения. Държавна политика и органи на управление в областта на измерванията</w:t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val="bg-BG"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val="bg-BG" w:eastAsia="bg-BG"/>
        </w:rPr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bg-BG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bg-BG" w:eastAsia="bg-BG"/>
        </w:rPr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bg-BG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bg-BG" w:eastAsia="bg-BG"/>
        </w:rPr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bg-BG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bg-BG" w:eastAsia="bg-BG"/>
        </w:rPr>
      </w:r>
    </w:p>
    <w:p>
      <w:pPr>
        <w:pStyle w:val="Normal"/>
        <w:spacing w:lineRule="auto" w:line="312" w:before="0" w:after="0"/>
        <w:ind w:right="-850" w:firstLine="284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bg-BG" w:eastAsia="bg-BG"/>
        </w:rPr>
        <w:t>Изготвил</w:t>
      </w: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  <w:t>:</w:t>
      </w:r>
      <w:r>
        <w:rPr>
          <w:rFonts w:eastAsia="Times New Roman" w:cs="Times New Roman" w:ascii="Times New Roman" w:hAnsi="Times New Roman"/>
          <w:b/>
          <w:sz w:val="28"/>
          <w:szCs w:val="28"/>
          <w:lang w:val="bg-BG" w:eastAsia="bg-BG"/>
        </w:rPr>
        <w:t xml:space="preserve"> </w:t>
        <w:tab/>
        <w:tab/>
        <w:tab/>
        <w:tab/>
        <w:tab/>
        <w:tab/>
        <w:t>Проверил:</w:t>
      </w:r>
    </w:p>
    <w:p>
      <w:pPr>
        <w:pStyle w:val="Normal"/>
        <w:spacing w:lineRule="auto" w:line="312" w:before="0" w:after="0"/>
        <w:ind w:right="-288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bg-BG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bg-BG" w:eastAsia="bg-BG"/>
        </w:rPr>
      </w:r>
    </w:p>
    <w:p>
      <w:pPr>
        <w:pStyle w:val="Normal"/>
        <w:spacing w:lineRule="auto" w:line="312" w:before="0" w:after="0"/>
        <w:ind w:right="-288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bg-BG" w:eastAsia="bg-BG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bg-BG" w:eastAsia="bg-BG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bg-BG"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val="bg-BG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  <w:t>Съдържание</w:t>
      </w:r>
    </w:p>
    <w:p>
      <w:pPr>
        <w:pStyle w:val="Normal"/>
        <w:spacing w:lineRule="auto" w:line="360" w:before="0" w:after="0"/>
        <w:ind w:right="1"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u-RU"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 w:eastAsia="bg-BG"/>
        </w:rPr>
      </w:r>
    </w:p>
    <w:tbl>
      <w:tblPr>
        <w:tblW w:w="66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2"/>
        <w:gridCol w:w="567"/>
      </w:tblGrid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Увод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3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1. Метрологичен контрол на средствата за измерване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3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2. Същност на закона за измерванията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4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3. Цел на закона за измерванията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4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4.Държавна политика в областта на измерванията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5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5.Органи на управление в областта на измерванията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6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6.Консултативни органи по метрология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7</w:t>
            </w:r>
          </w:p>
        </w:tc>
      </w:tr>
      <w:tr>
        <w:trPr/>
        <w:tc>
          <w:tcPr>
            <w:tcW w:w="6062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Използвана литература</w:t>
            </w:r>
          </w:p>
        </w:tc>
        <w:tc>
          <w:tcPr>
            <w:tcW w:w="567" w:type="dxa"/>
            <w:tcBorders/>
          </w:tcPr>
          <w:p>
            <w:pPr>
              <w:pStyle w:val="Normal"/>
              <w:spacing w:lineRule="auto" w:line="360" w:before="0" w:after="0"/>
              <w:ind w:right="1" w:hanging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bg-BG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bg-BG"/>
              </w:rPr>
              <w:t>8</w:t>
            </w:r>
          </w:p>
        </w:tc>
      </w:tr>
    </w:tbl>
    <w:p>
      <w:pPr>
        <w:pStyle w:val="Normal"/>
        <w:spacing w:lineRule="auto" w:line="360" w:before="0" w:after="0"/>
        <w:ind w:right="1" w:firstLine="567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cs="Times New Roman" w:ascii="Times New Roman" w:hAnsi="Times New Roman"/>
          <w:sz w:val="28"/>
          <w:szCs w:val="28"/>
          <w:lang w:val="bg-BG"/>
        </w:rPr>
      </w:r>
    </w:p>
    <w:p>
      <w:pPr>
        <w:pStyle w:val="Normal"/>
        <w:spacing w:lineRule="auto" w:line="360" w:before="0" w:after="0"/>
        <w:ind w:right="1" w:firstLine="567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cs="Times New Roman" w:ascii="Times New Roman" w:hAnsi="Times New Roman"/>
          <w:sz w:val="28"/>
          <w:szCs w:val="28"/>
          <w:lang w:val="bg-BG"/>
        </w:rPr>
      </w:r>
    </w:p>
    <w:p>
      <w:pPr>
        <w:pStyle w:val="Normal"/>
        <w:spacing w:lineRule="auto" w:line="360" w:before="0" w:after="0"/>
        <w:ind w:right="1" w:firstLine="567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cs="Times New Roman" w:ascii="Times New Roman" w:hAnsi="Times New Roman"/>
          <w:b/>
          <w:sz w:val="28"/>
          <w:szCs w:val="28"/>
          <w:lang w:val="bg-BG"/>
        </w:rPr>
      </w:r>
      <w:r>
        <w:br w:type="page"/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cs="Times New Roman" w:ascii="Times New Roman" w:hAnsi="Times New Roman"/>
          <w:b/>
          <w:sz w:val="28"/>
          <w:szCs w:val="28"/>
          <w:lang w:val="bg-BG"/>
        </w:rPr>
        <w:t>Увод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Метрологията има съществено значение за научните изследвания, а научните изследвания са в основата на нейното развитие. Науката непрекъснато разширява границите на възможното, а фундаменталната метрология следва метрологичните аспекти на новите открития.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Това предоставя на разположение на изследователите по-добри метрологични похвати за продължаване на изследователската им дейност – само онези области на метрологията, които наистина се развиват, могат да продължат да бъдат партньор за индустрията и научно-изследвателската работа.</w:t>
      </w:r>
    </w:p>
    <w:p>
      <w:pPr>
        <w:pStyle w:val="Normal"/>
        <w:spacing w:lineRule="auto" w:line="360" w:before="0" w:after="0"/>
        <w:ind w:firstLine="567"/>
        <w:jc w:val="center"/>
        <w:rPr/>
      </w:pPr>
      <w:r>
        <w:rPr>
          <w:rFonts w:cs="Times New Roman" w:ascii="Times New Roman" w:hAnsi="Times New Roman"/>
          <w:b/>
          <w:sz w:val="28"/>
          <w:lang w:val="ru-RU"/>
        </w:rPr>
        <w:t>1. Метрологичен контрол на средствата за измерване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Метрологичният контрол обхваща: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1. контрол на средства за измерване;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2. метрологична експертиза на средства за измерване;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3. контрол на предварително опаковани продукти и на опаковки, предназначени да бъдат използвани като съдове за измерване.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Контролът на средствата за измерване се извършва за установяване на съответствието им с изискванията на глава четвърта и наредбата по чл. 28.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 xml:space="preserve">Метрологичната експертиза на средства за измерване се извършва при възникване на спор относно техническите и метрологичните характеристики на средствата за измерване в употреба по искане на физически или юридически лица.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Предмет на метрологията е извличането чрез измерване на информация за свойствата на обектите с дадена точност и достоверност.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Метрологията обхваща три основни дейности: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1. Определението на международно признати единици за измерване.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2. Реализирането на единици за измерване чрез научни методи.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3. Изграждането на верига за проследимост чрез определяне и документиране на стойността и точността на измерване и разпространението на това знание.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cs="Times New Roman" w:ascii="Times New Roman" w:hAnsi="Times New Roman"/>
          <w:sz w:val="28"/>
          <w:lang w:val="ru-RU"/>
        </w:rPr>
        <w:t>Науката метрология се разделя на 3 основни дяла: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теоретична;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приложна (практическа);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законодателна.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b/>
          <w:sz w:val="28"/>
          <w:lang w:val="bg-BG"/>
        </w:rPr>
        <w:t>2. Същност на закона за измерванията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bg-BG"/>
        </w:rPr>
        <w:t>Законът за измерванията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урежда обществените отношения, свързани с осигуряване на проследимост, точност и достоверност на измерванията.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Закон за измерванията е разработен в съответствие с позицията за преговори с Европейския съюз в раздел “Законова метрология и предварителнопакетиране”, тема “Свободно движение на стоки”, с която е поет ангажимент 21 директиви от посочения раздел да бъдат въведени в българското законодателство през 2001 г.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Със закона се цели и да се повиши хармонизацията на българското законодателство в областта на метрологията с европейските актове до степента науеднаквяване на изискванията към средствата за измерване и предварителноопакованите продукти и да се създадат условия за свободно движение на стоки и запреодоляване на техническите пречки в търговията. Законът компенсира и различия в законодателството, които могат да затруднят преговорите по подписване на PECA (Европейски протоколи за взаимно признаване на резултатите от оценяване насъответствието).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3. Цел на закона за измерванията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Законът има за цел: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1. в съответствие с националните интереси да защитава живота и здравето на хората и околната среда от вредни въздействия, както и имуществото на физическите и юридическите лица от неблагоприятни последици, които могат да настъпят вследствие на неверни резултати от измерванията;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2. да създава условия за международно признаване на резултатите от извършваните в Република България измервания.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 Република България се използват само единици, разрешени от този закон.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За осигуряване на проследимост на измерванията в страната се създават национални еталони и национална система за сертифицирани сравнителни материали.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За осигуряване на точност и достоверност на измерванията в здравеопазването и на измерванията, свързани с обществената безопасност, защитата на околната среда, държавните и общинските вземания и търговските плащания, се извършва метрологичен контрол. 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4.Държавна политика в областта на измерванията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Държавната политика в областта на измерванията се определя от Министерския съвет по предложение на министъра на икономиката и се изпълнява от председателя на Българския институт по метрология и председателя на Държавната агенция за метрологичен и технически надзор съобразно правомощията им по този закон.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При разработването на политиката в областта на измерванията министърът на икономиката се подпомага от председателя на Българския институт по метрология и председателя на Държавната агенция за метрологичен и технически надзор.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Председателят на Българския институт по метрология и председателят на Държавната агенция за метрологичен и технически надзор осъществяват правомощията си, като се ръководят от принципите за осигуряване на проследимост, точност и достоверност на измерванията в страната. 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5.Органи на управление в областта на измерванията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Органи на управление в областта на измерванията са председателят на Българския институт по метрология и председателят на Държавната агенция за метрологичен и технически надзор.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Създава се Български институт по метрология като юридическо лице към министъра на икономиката на бюджетна издръжка със седалище София, специализиран за: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 изпълнение на функциите по този закон, включващи: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а) създаване, съхраняване и усъвършенстване на националните еталони на Република България;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б) организиране изграждането и развитието на националната система за сертифицирани сравнителни материали;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в) осигуряване проследимост на измерванията в страната;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г) осъществяване контрол на средствата за измерване;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д) извършване на метрологична експертиза на средствата за измерване;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2. подпомагане органите на държавната власт при осъществяване на техните правомощия по въпроси, свързани с измервания;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3. провеждане на метрологични изследвания и предоставяне на услуги, свързани с измервания и със средства за измерване, в области от обществен, научен и икономически интерес;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4. провеждане на дейности по международно признаване на резултатите от извършваните в Република България измервания.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Българският институт по метрология се ръководи от председател, който се определя с решение на Министерския съвет и се назначава от министър-председателя.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При осъществяване на своите правомощия председателят на Българския институт по метрология се подпомага от заместник-председател, който се определя с решение на Министерския съвет по предложение на председателя на института и се назначава от министър-председателя.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За председател на Българския институт по метрология се назначава лице с българско гражданство с висше образование по природни или технически науки с образователно-квалификационна степен "магистър", с трудов и/или служебен стаж не помалко от 10 години в областта на измерванията и с изявени професионални качества в областта на метрологията. 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6.Консултативни органи по метрология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Консултативни органи по метрология са Националният съвет по метрология към министъра на икономиката и Научният съвет по метрология към председателя на Българския институт по метрология.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Националният съвет по метрология разглежда проекти на нормативни актове, програми и концепции за развитие на метрологията и дава становища и предложения по други въпроси, поставени от министъра на икономиката.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Националният съвет по метрология се състои от 26 членове и включва: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-по един представител на Министерството на околната среда и водите, Министерството на икономиката, Министерството на здравеопазването, Министерството на транспорта, информационните технологии и съобщенията, Министерството на вътрешните работи, Министерството на отбраната, Министерството на земеделието, храните и горите, Министерството на регионалното развитие и благоустройството, Агенцията за ядрено регулиране, Държавната агенция за метрологичен и технически надзор, Българския институт по метрология, Изпълнителна агенция "Българска служба за акредитация" и на Българския институт за стандартизация, определени от съответния министър или ръководител на ведомство;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-петима представители на научната общност, определени по споразумение между председателя на Българската академия на науките и председателя на Съвета на ректорите;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-четирима представители на национално представените организации на работодателите по чл. 35 от Кодекса на труда, определени по споразумение между тях;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-двама представители на сдруженията на потребителите, определени по споразумение между тях;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-двама представители на сдруженията на метролозите, определени по споразумение между тях.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Научният съвет по метрология разглежда проектите на дългосрочната програма за развитие на националните еталони и дългосрочната програма за развитие на националната система за сертифицирани сравнителни материали и докладите по изпълнението им и консултира председателя на Българския институт по метрология по въпроси, свързани с националните еталони, метрологичните изследвания и обучението в областта на метрологията. 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Използвана литература: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right="1" w:firstLine="567"/>
        <w:jc w:val="both"/>
        <w:rPr>
          <w:rFonts w:ascii="Times New Roman" w:hAnsi="Times New Roman" w:cs="Times New Roman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bg-BG" w:eastAsia="bg-BG"/>
        </w:rPr>
        <w:t>1.https://www.bim.government.bg/bg/view/normativna-uredba/zakonodatelstvo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bg-BG"/>
        </w:rPr>
        <w:t>2.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Закон за националната акредитация на органи за оценяване на съответствието (изм. ДВ. бр.7 от 19 Януари 2018г.)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bg-BG"/>
        </w:rPr>
        <w:t>3.Лекции и записки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 xml:space="preserve">       </w:t>
      </w:r>
      <w:r>
        <w:rPr>
          <w:rFonts w:cs="Times New Roman" w:ascii="Times New Roman" w:hAnsi="Times New Roman"/>
          <w:sz w:val="28"/>
          <w:szCs w:val="28"/>
          <w:lang w:val="ru-RU"/>
        </w:rPr>
        <w:t>4. Наредба за средствата за измерване, които подлежат на метрологичен контрол (изм. ДВ. бр.86 от 27 Октомври 2017г.)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 w:before="0" w:after="0"/>
        <w:ind w:firstLine="567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sectPr>
      <w:footerReference w:type="default" r:id="rId2"/>
      <w:footerReference w:type="first" r:id="rId3"/>
      <w:type w:val="nextPage"/>
      <w:pgSz w:w="11906" w:h="16838"/>
      <w:pgMar w:left="1985" w:right="1134" w:gutter="0" w:header="0" w:top="1418" w:footer="851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Times New Roman">
    <w:charset w:val="cc"/>
    <w:family w:val="roman"/>
    <w:pitch w:val="variable"/>
  </w:font>
  <w:font w:name="Times New Roman Bold">
    <w:charset w:val="00"/>
    <w:family w:val="roman"/>
    <w:pitch w:val="default"/>
  </w:font>
  <w:font w:name="Courier New">
    <w:charset w:val="cc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6" w:before="0" w:after="160"/>
    </w:pPr>
    <w:rPr>
      <w:rFonts w:ascii="Calibri" w:hAnsi="Calibri" w:eastAsia="Calibri" w:cs="Times New Roman"/>
      <w:color w:val="auto"/>
      <w:sz w:val="22"/>
      <w:szCs w:val="22"/>
      <w:lang w:val="en-US" w:bidi="ar-SA" w:eastAsia="zh-CN"/>
    </w:rPr>
  </w:style>
  <w:style w:type="character" w:styleId="WW8Num1z0">
    <w:name w:val="WW8Num1z0"/>
    <w:qFormat/>
    <w:rPr>
      <w:rFonts w:ascii="Symbol" w:hAnsi="Symbol" w:cs="Symbol"/>
      <w:sz w:val="20"/>
    </w:rPr>
  </w:style>
  <w:style w:type="character" w:styleId="WW8Num1z1">
    <w:name w:val="WW8Num1z1"/>
    <w:qFormat/>
    <w:rPr>
      <w:rFonts w:ascii="Courier New" w:hAnsi="Courier New" w:cs="Courier New"/>
      <w:sz w:val="20"/>
    </w:rPr>
  </w:style>
  <w:style w:type="character" w:styleId="WW8Num1z2">
    <w:name w:val="WW8Num1z2"/>
    <w:qFormat/>
    <w:rPr>
      <w:rFonts w:ascii="Wingdings" w:hAnsi="Wingdings" w:cs="Wingdings"/>
      <w:sz w:val="20"/>
    </w:rPr>
  </w:style>
  <w:style w:type="character" w:styleId="WW8Num2z0">
    <w:name w:val="WW8Num2z0"/>
    <w:qFormat/>
    <w:rPr/>
  </w:style>
  <w:style w:type="character" w:styleId="Style9">
    <w:name w:val="Шрифт на абзаца по подразбиране"/>
    <w:qFormat/>
    <w:rPr/>
  </w:style>
  <w:style w:type="character" w:styleId="Style10">
    <w:name w:val="Горен колонтитул Знак"/>
    <w:qFormat/>
    <w:rPr>
      <w:rFonts w:ascii="Calibri" w:hAnsi="Calibri" w:eastAsia="Calibri" w:cs="Times New Roman"/>
    </w:rPr>
  </w:style>
  <w:style w:type="character" w:styleId="Style11">
    <w:name w:val="Долен колонтитул Знак"/>
    <w:qFormat/>
    <w:rPr>
      <w:rFonts w:ascii="Calibri" w:hAnsi="Calibri" w:eastAsia="Calibri"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Footer">
    <w:name w:val="Footer"/>
    <w:basedOn w:val="Normal"/>
    <w:pPr>
      <w:spacing w:lineRule="auto" w:line="240" w:before="0" w:after="0"/>
    </w:pPr>
    <w:rPr/>
  </w:style>
  <w:style w:type="paragraph" w:styleId="Style12">
    <w:name w:val="Списък на абзаци"/>
    <w:basedOn w:val="Normal"/>
    <w:qFormat/>
    <w:pPr>
      <w:spacing w:before="0" w:after="160"/>
      <w:ind w:left="720" w:hanging="0"/>
      <w:contextualSpacing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27</TotalTime>
  <Application>LibreOffice/7.5.0.3$Linux_X86_64 LibreOffice_project/50$Build-3</Application>
  <AppVersion>15.0000</AppVersion>
  <Pages>8</Pages>
  <Words>1260</Words>
  <Characters>8205</Characters>
  <CharactersWithSpaces>9430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2020-05-05T11:53:00Z</dcterms:created>
  <dc:creator>user</dc:creator>
  <dc:description/>
  <cp:keywords/>
  <dc:language>en-US</dc:language>
  <cp:lastModifiedBy>Veronika</cp:lastModifiedBy>
  <dcterms:modified xsi:type="dcterms:W3CDTF">2020-11-29T13:10:00Z</dcterms:modified>
  <cp:revision>10</cp:revision>
  <dc:subject/>
  <dc:title/>
</cp:coreProperties>
</file>